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6E" w:rsidRDefault="0023786E" w:rsidP="007D1A4D">
      <w:pPr>
        <w:pStyle w:val="Header"/>
        <w:tabs>
          <w:tab w:val="clear" w:pos="4536"/>
        </w:tabs>
      </w:pPr>
      <w:bookmarkStart w:id="0" w:name="_GoBack"/>
      <w:bookmarkEnd w:id="0"/>
    </w:p>
    <w:p w:rsidR="007D1A4D" w:rsidRPr="00446F9D" w:rsidRDefault="007D1A4D" w:rsidP="007D1A4D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86bis</w:t>
      </w:r>
      <w:r w:rsidRPr="00446F9D">
        <w:tab/>
        <w:t>R1-</w:t>
      </w:r>
      <w:r w:rsidR="00D5629A">
        <w:t>1609644</w:t>
      </w:r>
    </w:p>
    <w:p w:rsidR="007D1A4D" w:rsidRPr="000833FA" w:rsidRDefault="007D1A4D" w:rsidP="007D1A4D">
      <w:pPr>
        <w:pStyle w:val="Header"/>
        <w:rPr>
          <w:color w:val="000000"/>
        </w:rPr>
      </w:pPr>
      <w:r>
        <w:t>Lisbon, Portugal, October 10 – 14,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681DB5">
        <w:t>On uplink waveform</w:t>
      </w:r>
      <w:r w:rsidR="00D5629A">
        <w:t xml:space="preserve"> – </w:t>
      </w:r>
      <w:r w:rsidR="00785874">
        <w:t>evaluation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3E044D">
        <w:t>8</w:t>
      </w:r>
      <w:r w:rsidR="00D21788">
        <w:t>.1.</w:t>
      </w:r>
      <w:r w:rsidR="00D5629A">
        <w:t>1.1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E956F8" w:rsidRDefault="00D64311" w:rsidP="00D64311">
      <w:pPr>
        <w:pStyle w:val="BodyText"/>
      </w:pPr>
      <w:r>
        <w:t xml:space="preserve"> </w:t>
      </w:r>
    </w:p>
    <w:p w:rsidR="00D7691A" w:rsidRDefault="00D7691A" w:rsidP="00D7691A">
      <w:pPr>
        <w:pStyle w:val="Heading1"/>
      </w:pPr>
      <w:r>
        <w:t>Discussion</w:t>
      </w:r>
    </w:p>
    <w:p w:rsidR="00990658" w:rsidRDefault="00681DB5" w:rsidP="00D64311">
      <w:pPr>
        <w:pStyle w:val="BodyText"/>
      </w:pPr>
      <w:r>
        <w:t>At the Gothenburg meeting [1], RAN1 concluded</w:t>
      </w:r>
      <w:r w:rsidR="00BC6AC4">
        <w:t xml:space="preserve"> that</w:t>
      </w:r>
      <w:r w:rsidR="00990658">
        <w:t xml:space="preserve"> CP-OFDM without specified low-PAPR/CM should be supported </w:t>
      </w:r>
      <w:r w:rsidR="00BC6AC4">
        <w:t xml:space="preserve">for the NR </w:t>
      </w:r>
      <w:r w:rsidR="00990658">
        <w:t>uplink</w:t>
      </w:r>
      <w:r w:rsidR="00BC6AC4">
        <w:t>, at least up to 40 GHz</w:t>
      </w:r>
      <w:r w:rsidR="00990658">
        <w:t>. It was also, separately, concluded that additional low-PAPR/CM techniques</w:t>
      </w:r>
      <w:r w:rsidR="00BC6AC4">
        <w:t>, or PARP/CM reduction techniques,</w:t>
      </w:r>
      <w:r w:rsidR="00990658">
        <w:t xml:space="preserve"> could be considered as an add-on to CP-OFDM.</w:t>
      </w:r>
    </w:p>
    <w:p w:rsidR="00990658" w:rsidRDefault="00BC6AC4" w:rsidP="00D64311">
      <w:pPr>
        <w:pStyle w:val="BodyText"/>
      </w:pPr>
      <w:r>
        <w:t xml:space="preserve">There are two types of </w:t>
      </w:r>
      <w:r w:rsidR="00990658">
        <w:t>PAPR/CM</w:t>
      </w:r>
      <w:r>
        <w:t>-reduction</w:t>
      </w:r>
      <w:r w:rsidR="00990658">
        <w:t xml:space="preserve"> techniques that can be added on top of OFDM.</w:t>
      </w:r>
    </w:p>
    <w:p w:rsidR="00990658" w:rsidRDefault="00990658" w:rsidP="00990658">
      <w:pPr>
        <w:pStyle w:val="BodyText"/>
        <w:numPr>
          <w:ilvl w:val="0"/>
          <w:numId w:val="6"/>
        </w:numPr>
      </w:pPr>
      <w:r>
        <w:t>Receiver-transparent techniques applied to the transmitter side. Such techniques have no relation to any NR technical specification except that they must be applied in such a way that the transmitted signal would still satisfy any future transmitter-side requirements defined by RAN4.</w:t>
      </w:r>
    </w:p>
    <w:p w:rsidR="00D64311" w:rsidRDefault="00990658" w:rsidP="00990658">
      <w:pPr>
        <w:pStyle w:val="BodyText"/>
        <w:numPr>
          <w:ilvl w:val="0"/>
          <w:numId w:val="6"/>
        </w:numPr>
      </w:pPr>
      <w:r>
        <w:t>Non-receiver-transparent techniques. Such t</w:t>
      </w:r>
      <w:r w:rsidR="00BC6AC4">
        <w:t xml:space="preserve">echniques have to be specified in detail within future NR </w:t>
      </w:r>
      <w:r>
        <w:t>specifications. The most obvious non-receiver-transparent PAPR/CM-reduction technique is DFT-preco</w:t>
      </w:r>
      <w:r w:rsidR="00BC6AC4">
        <w:t>ding as used for the</w:t>
      </w:r>
      <w:r w:rsidR="007D0820">
        <w:t xml:space="preserve"> LTE uplink</w:t>
      </w:r>
      <w:r>
        <w:t xml:space="preserve">.     </w:t>
      </w:r>
    </w:p>
    <w:p w:rsidR="00990658" w:rsidRDefault="00990658" w:rsidP="00990658">
      <w:pPr>
        <w:pStyle w:val="BodyText"/>
      </w:pPr>
      <w:r>
        <w:t xml:space="preserve">DFT precoding in itself is not any major issue. However, to benefit from DFT precoding significant </w:t>
      </w:r>
      <w:r w:rsidR="00BC6AC4">
        <w:t xml:space="preserve">in terms of reduced PAPR/CM, </w:t>
      </w:r>
      <w:r>
        <w:t xml:space="preserve">restrictions in terms of multiplexing and scheduling have to be applied as is obvious from the LTE uplink. </w:t>
      </w:r>
      <w:r w:rsidR="006F0D5E">
        <w:t xml:space="preserve">Thus, from this point-of-view, DFT precoding is not desirable and </w:t>
      </w:r>
      <w:r w:rsidR="006A61A6">
        <w:t xml:space="preserve">the use of </w:t>
      </w:r>
      <w:r w:rsidR="006F0D5E">
        <w:t>receiver-tr</w:t>
      </w:r>
      <w:r w:rsidR="007D0820">
        <w:t xml:space="preserve">ansparent techniques is </w:t>
      </w:r>
      <w:r w:rsidR="006F0D5E">
        <w:t xml:space="preserve">preferred. </w:t>
      </w:r>
    </w:p>
    <w:p w:rsidR="006F0D5E" w:rsidRDefault="006F0D5E" w:rsidP="00990658">
      <w:pPr>
        <w:pStyle w:val="BodyText"/>
      </w:pPr>
      <w:r>
        <w:t xml:space="preserve">At the same time, it needs to be </w:t>
      </w:r>
      <w:r w:rsidR="006A61A6">
        <w:t>ensured</w:t>
      </w:r>
      <w:r>
        <w:t xml:space="preserve"> that receiver-transparent techniques can deliver similar performance in terms of power-amplifier efficiency, without sacrificing system performance</w:t>
      </w:r>
      <w:r w:rsidR="00BC6AC4">
        <w:t>,</w:t>
      </w:r>
      <w:r>
        <w:t xml:space="preserve"> including out-of-band emissions </w:t>
      </w:r>
      <w:r w:rsidR="007D0820">
        <w:t xml:space="preserve">and </w:t>
      </w:r>
      <w:r>
        <w:t xml:space="preserve">achievable throughput, compared to DFT precoding. </w:t>
      </w:r>
    </w:p>
    <w:p w:rsidR="00BC6AC4" w:rsidRDefault="006F0D5E" w:rsidP="00990658">
      <w:pPr>
        <w:pStyle w:val="BodyText"/>
      </w:pPr>
      <w:r>
        <w:t>In</w:t>
      </w:r>
      <w:r w:rsidR="00BC6AC4">
        <w:t xml:space="preserve"> [2] and [3</w:t>
      </w:r>
      <w:r>
        <w:t>] we investigated one example of receiver-transparent PAPR/CM</w:t>
      </w:r>
      <w:r w:rsidR="00BC6AC4">
        <w:t>-</w:t>
      </w:r>
      <w:r>
        <w:t>reduction technique, namely peak cancellation. It was found that with peak cancellation and the agreed power-amplifier model, the (LTE) out-of-band emission requirements as well as the (LTE) EVM</w:t>
      </w:r>
      <w:r w:rsidR="00BC6AC4">
        <w:t xml:space="preserve"> requirements could be fulfilled</w:t>
      </w:r>
      <w:r>
        <w:t xml:space="preserve">. </w:t>
      </w:r>
    </w:p>
    <w:p w:rsidR="007D0820" w:rsidRDefault="006F0D5E" w:rsidP="00990658">
      <w:pPr>
        <w:pStyle w:val="BodyText"/>
      </w:pPr>
      <w:r>
        <w:t xml:space="preserve">However, the </w:t>
      </w:r>
      <w:r w:rsidR="007D0820">
        <w:t xml:space="preserve">resulting </w:t>
      </w:r>
      <w:r>
        <w:t xml:space="preserve">EVM </w:t>
      </w:r>
      <w:r w:rsidR="007D0820">
        <w:t>from the non-ideal power amplifier in combination with peak cancellation is</w:t>
      </w:r>
      <w:r>
        <w:t xml:space="preserve"> still larger </w:t>
      </w:r>
      <w:r w:rsidR="007D0820">
        <w:t>than for</w:t>
      </w:r>
      <w:r>
        <w:t xml:space="preserve"> DFTS-OFDM under the same condition</w:t>
      </w:r>
      <w:r w:rsidR="007D0820">
        <w:t>s.</w:t>
      </w:r>
    </w:p>
    <w:p w:rsidR="007D0820" w:rsidRDefault="006F0D5E" w:rsidP="00990658">
      <w:pPr>
        <w:pStyle w:val="BodyText"/>
      </w:pPr>
      <w:r>
        <w:t xml:space="preserve">EVM is a measure of the error in the transmitted signal, an error </w:t>
      </w:r>
      <w:r w:rsidR="007D0820">
        <w:t>that will impact</w:t>
      </w:r>
      <w:r>
        <w:t xml:space="preserve"> the link </w:t>
      </w:r>
      <w:r w:rsidR="00BC6AC4">
        <w:t xml:space="preserve">performance. However, </w:t>
      </w:r>
      <w:r>
        <w:t xml:space="preserve">also DFTS-OFDM-specific </w:t>
      </w:r>
      <w:r w:rsidR="00BC6AC4">
        <w:t xml:space="preserve">has issues in terms of </w:t>
      </w:r>
      <w:r>
        <w:t xml:space="preserve">link </w:t>
      </w:r>
      <w:r w:rsidR="00BC6AC4">
        <w:t>performance. More specifically, DFTS suffers from ISI in case of</w:t>
      </w:r>
      <w:r>
        <w:t xml:space="preserve"> freq</w:t>
      </w:r>
      <w:r w:rsidR="00536951">
        <w:t xml:space="preserve">uency-selective channels. Thus </w:t>
      </w:r>
      <w:r>
        <w:t xml:space="preserve">must </w:t>
      </w:r>
      <w:r w:rsidR="00536951">
        <w:t>b</w:t>
      </w:r>
      <w:r>
        <w:t>e taken into account in the overall evaluation and co</w:t>
      </w:r>
      <w:r w:rsidR="007D0820">
        <w:t>mparison in order to arrive at a fair comparison</w:t>
      </w:r>
      <w:r>
        <w:t xml:space="preserve">. </w:t>
      </w:r>
    </w:p>
    <w:p w:rsidR="00892558" w:rsidRDefault="00892558" w:rsidP="007D0820">
      <w:pPr>
        <w:pStyle w:val="BodyText"/>
      </w:pPr>
      <w:r>
        <w:t xml:space="preserve">In this paper we </w:t>
      </w:r>
      <w:r w:rsidR="007D0820">
        <w:t xml:space="preserve">evaluate and </w:t>
      </w:r>
      <w:r>
        <w:t xml:space="preserve">compare the </w:t>
      </w:r>
      <w:r w:rsidR="00536951">
        <w:t xml:space="preserve">achievable </w:t>
      </w:r>
      <w:r>
        <w:t xml:space="preserve">user throughput </w:t>
      </w:r>
      <w:r w:rsidR="007D0820">
        <w:t xml:space="preserve">as a function </w:t>
      </w:r>
      <w:r w:rsidR="00536951">
        <w:t xml:space="preserve">of SNR </w:t>
      </w:r>
      <w:r w:rsidR="007D0820">
        <w:t xml:space="preserve">for </w:t>
      </w:r>
      <w:r>
        <w:t>DFTS-OFDM</w:t>
      </w:r>
      <w:r w:rsidR="007D0820">
        <w:t xml:space="preserve"> and </w:t>
      </w:r>
      <w:r>
        <w:t xml:space="preserve">OFDM with peak cancellation. </w:t>
      </w:r>
      <w:r w:rsidR="007D0820">
        <w:t>The evaluations are carried out for the same</w:t>
      </w:r>
      <w:r w:rsidR="00536951">
        <w:t xml:space="preserve"> scenarios as in [2</w:t>
      </w:r>
      <w:r w:rsidR="007D0820">
        <w:t xml:space="preserve">] </w:t>
      </w:r>
      <w:r w:rsidR="00536951">
        <w:t>and [3</w:t>
      </w:r>
      <w:r w:rsidR="006A61A6">
        <w:t>]. The evaluations take into account</w:t>
      </w:r>
      <w:r w:rsidR="007D0820">
        <w:t xml:space="preserve"> the EVM from non-linear power amplifier and peak cancellatio</w:t>
      </w:r>
      <w:r w:rsidR="0017284A">
        <w:t xml:space="preserve">n </w:t>
      </w:r>
      <w:r w:rsidR="006A61A6">
        <w:t xml:space="preserve">by adding corresponding AWGN </w:t>
      </w:r>
      <w:r w:rsidR="00536951">
        <w:t>at the transmitter side. A receiver-side linear equalizer is used to counter the DFTS-OFDM ISI introduced by the frequency selective channel</w:t>
      </w:r>
      <w:r w:rsidR="007D0820">
        <w:t xml:space="preserve">. </w:t>
      </w:r>
    </w:p>
    <w:p w:rsidR="00034444" w:rsidRDefault="00034444" w:rsidP="007D0820">
      <w:pPr>
        <w:pStyle w:val="BodyText"/>
      </w:pPr>
      <w:r>
        <w:t>The results are illustrate</w:t>
      </w:r>
      <w:r w:rsidR="006A61A6">
        <w:t xml:space="preserve">d in Figure 1 to Figure 4 </w:t>
      </w:r>
      <w:r>
        <w:t xml:space="preserve">for two different resource </w:t>
      </w:r>
      <w:r w:rsidR="006A61A6">
        <w:t>allocations, five</w:t>
      </w:r>
      <w:r>
        <w:t xml:space="preserve"> resource blocks and 40 resource blocks respectively, and two different channels, TDL-A with delay spread of 100 ns and 1 </w:t>
      </w:r>
      <w:r>
        <w:sym w:font="Symbol" w:char="F06D"/>
      </w:r>
      <w:r>
        <w:t>s respectively.</w:t>
      </w:r>
    </w:p>
    <w:p w:rsidR="00034444" w:rsidRDefault="00034444" w:rsidP="007D0820">
      <w:pPr>
        <w:pStyle w:val="BodyText"/>
      </w:pPr>
      <w:r>
        <w:t>As can be seen, despite the higher EVM, OFDM provides a throughput on par with, and in many cases better than DFTS-OFDM.</w:t>
      </w:r>
    </w:p>
    <w:p w:rsidR="007D0820" w:rsidRDefault="00034444" w:rsidP="00034444">
      <w:pPr>
        <w:pStyle w:val="BodyText"/>
        <w:jc w:val="center"/>
      </w:pPr>
      <w:r w:rsidRPr="00034444">
        <w:rPr>
          <w:b/>
          <w:noProof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560400" cy="26676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4444">
        <w:rPr>
          <w:b/>
        </w:rPr>
        <w:t>Figure 1</w:t>
      </w:r>
      <w:r>
        <w:rPr>
          <w:b/>
        </w:rPr>
        <w:t xml:space="preserve"> </w:t>
      </w:r>
      <w:r w:rsidR="006A61A6">
        <w:t>R</w:t>
      </w:r>
      <w:r>
        <w:t>esource allocation</w:t>
      </w:r>
      <w:r w:rsidR="006A61A6">
        <w:t>: 5 RB, c</w:t>
      </w:r>
      <w:r>
        <w:t>hannel TDL-A with 100ns delay spread</w:t>
      </w:r>
    </w:p>
    <w:p w:rsidR="00034444" w:rsidRDefault="00034444" w:rsidP="00034444">
      <w:pPr>
        <w:pStyle w:val="BodyText"/>
        <w:jc w:val="center"/>
      </w:pPr>
      <w:r w:rsidRPr="00034444">
        <w:rPr>
          <w:noProof/>
        </w:rPr>
        <w:drawing>
          <wp:inline distT="0" distB="0" distL="0" distR="0">
            <wp:extent cx="3556800" cy="266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8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444" w:rsidRDefault="00034444" w:rsidP="00034444">
      <w:pPr>
        <w:pStyle w:val="BodyText"/>
        <w:jc w:val="center"/>
      </w:pPr>
      <w:r>
        <w:rPr>
          <w:b/>
        </w:rPr>
        <w:t xml:space="preserve">Figure 2 </w:t>
      </w:r>
      <w:r w:rsidR="006A61A6">
        <w:t>Resource allocation. 5 RB, c</w:t>
      </w:r>
      <w:r>
        <w:t xml:space="preserve">hannel TDL-A with 1 </w:t>
      </w:r>
      <w:r>
        <w:sym w:font="Symbol" w:char="F06D"/>
      </w:r>
      <w:r>
        <w:t>s delay spread</w:t>
      </w:r>
    </w:p>
    <w:p w:rsidR="00034444" w:rsidRDefault="00034444" w:rsidP="00034444">
      <w:pPr>
        <w:pStyle w:val="BodyText"/>
        <w:jc w:val="center"/>
      </w:pPr>
      <w:r w:rsidRPr="00034444">
        <w:rPr>
          <w:noProof/>
        </w:rPr>
        <w:drawing>
          <wp:inline distT="0" distB="0" distL="0" distR="0">
            <wp:extent cx="3556800" cy="2667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8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444" w:rsidRDefault="00034444" w:rsidP="00034444">
      <w:pPr>
        <w:pStyle w:val="BodyText"/>
        <w:jc w:val="center"/>
      </w:pPr>
      <w:r>
        <w:rPr>
          <w:b/>
        </w:rPr>
        <w:t xml:space="preserve">Figure 3 </w:t>
      </w:r>
      <w:r w:rsidR="006A61A6">
        <w:t>R</w:t>
      </w:r>
      <w:r>
        <w:t>esource allocation</w:t>
      </w:r>
      <w:r w:rsidR="006A61A6">
        <w:t>: 40 RB, c</w:t>
      </w:r>
      <w:r>
        <w:t>hannel TDL-A with 100ns delay spread</w:t>
      </w:r>
    </w:p>
    <w:p w:rsidR="00034444" w:rsidRDefault="00034444" w:rsidP="00034444">
      <w:pPr>
        <w:pStyle w:val="BodyText"/>
        <w:jc w:val="center"/>
      </w:pPr>
      <w:r w:rsidRPr="00034444">
        <w:rPr>
          <w:noProof/>
        </w:rPr>
        <w:lastRenderedPageBreak/>
        <w:drawing>
          <wp:inline distT="0" distB="0" distL="0" distR="0">
            <wp:extent cx="3556800" cy="2667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8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444" w:rsidRPr="00034444" w:rsidRDefault="00034444" w:rsidP="00034444">
      <w:pPr>
        <w:pStyle w:val="BodyText"/>
        <w:jc w:val="center"/>
      </w:pPr>
      <w:r>
        <w:rPr>
          <w:b/>
        </w:rPr>
        <w:t xml:space="preserve">Figure 4 </w:t>
      </w:r>
      <w:r w:rsidR="006A61A6">
        <w:t>Resource allocation: 40 RB, c</w:t>
      </w:r>
      <w:r>
        <w:t xml:space="preserve">hannel TDL-A with 1 </w:t>
      </w:r>
      <w:r>
        <w:sym w:font="Symbol" w:char="F06D"/>
      </w:r>
      <w:r>
        <w:t>s delay spread</w:t>
      </w:r>
    </w:p>
    <w:p w:rsidR="00892558" w:rsidRDefault="00892558" w:rsidP="00892558">
      <w:pPr>
        <w:pStyle w:val="BodyText"/>
      </w:pPr>
    </w:p>
    <w:p w:rsidR="00FE5799" w:rsidRDefault="00FE5799" w:rsidP="00FE5799">
      <w:pPr>
        <w:pStyle w:val="Heading1"/>
      </w:pPr>
      <w:r>
        <w:t>Conclusion</w:t>
      </w:r>
    </w:p>
    <w:p w:rsidR="00FD43FF" w:rsidRDefault="00892558" w:rsidP="00FD43FF">
      <w:pPr>
        <w:pStyle w:val="BodyText"/>
      </w:pPr>
      <w:r>
        <w:t>For the evaluated scenarios receiver-transparent PAPR/CM reduction techniques have performance (user throughput) on par with, or better than, DFTS-OFDM. From this we conclude that DFTS-OFDM is not required as a complementary technology on top of CP-OFDM for NR.</w:t>
      </w:r>
    </w:p>
    <w:p w:rsidR="00892558" w:rsidRDefault="00892558" w:rsidP="00FD43FF">
      <w:pPr>
        <w:pStyle w:val="BodyText"/>
      </w:pPr>
      <w:r w:rsidRPr="00892558">
        <w:rPr>
          <w:b/>
        </w:rPr>
        <w:t>Proposal</w:t>
      </w:r>
      <w:r>
        <w:t xml:space="preserve">: </w:t>
      </w:r>
      <w:r w:rsidR="00034444">
        <w:t>T</w:t>
      </w:r>
      <w:r>
        <w:t>he NR wav</w:t>
      </w:r>
      <w:r w:rsidR="00536951">
        <w:t xml:space="preserve">eform is CP-OFDM </w:t>
      </w:r>
      <w:proofErr w:type="gramStart"/>
      <w:r w:rsidR="00536951">
        <w:t>to</w:t>
      </w:r>
      <w:proofErr w:type="gramEnd"/>
      <w:r w:rsidR="006A61A6">
        <w:t xml:space="preserve"> which receiver-transparent low-PAPR/CM techniques can be applied.</w:t>
      </w:r>
    </w:p>
    <w:p w:rsidR="007D0820" w:rsidRDefault="007D0820" w:rsidP="007D0820">
      <w:pPr>
        <w:pStyle w:val="Heading1"/>
        <w:numPr>
          <w:ilvl w:val="0"/>
          <w:numId w:val="0"/>
        </w:numPr>
        <w:ind w:left="567" w:hanging="567"/>
      </w:pPr>
      <w:r>
        <w:t>References</w:t>
      </w:r>
    </w:p>
    <w:p w:rsidR="00D5629A" w:rsidRDefault="00D5629A" w:rsidP="00D5629A">
      <w:pPr>
        <w:pStyle w:val="BodyText"/>
        <w:ind w:left="426" w:hanging="426"/>
        <w:jc w:val="left"/>
      </w:pPr>
      <w:r>
        <w:t xml:space="preserve"> [1]</w:t>
      </w:r>
      <w:r>
        <w:tab/>
      </w:r>
      <w:r w:rsidR="006A61A6">
        <w:t>Minutes of meeting</w:t>
      </w:r>
      <w:r w:rsidR="007637F7">
        <w:t xml:space="preserve"> </w:t>
      </w:r>
      <w:r>
        <w:t>TSG-RAN WG1 #86</w:t>
      </w:r>
      <w:r>
        <w:tab/>
      </w:r>
    </w:p>
    <w:p w:rsidR="00034444" w:rsidRDefault="00D5629A" w:rsidP="00D5629A">
      <w:pPr>
        <w:pStyle w:val="BodyText"/>
        <w:ind w:left="426" w:hanging="426"/>
        <w:jc w:val="left"/>
      </w:pPr>
      <w:r>
        <w:t>[2]</w:t>
      </w:r>
      <w:r>
        <w:tab/>
        <w:t>R1-167031, “On OFDM in NR for Coverage-Limited Scenarios”, Ericsson,</w:t>
      </w:r>
      <w:r w:rsidRPr="00207095">
        <w:rPr>
          <w:lang w:val="de-DE"/>
        </w:rPr>
        <w:t xml:space="preserve"> </w:t>
      </w:r>
      <w:r>
        <w:rPr>
          <w:lang w:val="de-DE"/>
        </w:rPr>
        <w:br/>
        <w:t>TSG-RAN WG1 #86</w:t>
      </w:r>
      <w:r>
        <w:t>, August 22-26 2016</w:t>
      </w:r>
    </w:p>
    <w:p w:rsidR="00D5629A" w:rsidRDefault="00D5629A" w:rsidP="00D5629A">
      <w:pPr>
        <w:pStyle w:val="BodyText"/>
        <w:ind w:left="426" w:hanging="426"/>
        <w:jc w:val="left"/>
      </w:pPr>
      <w:r>
        <w:t>[3]</w:t>
      </w:r>
      <w:r>
        <w:tab/>
        <w:t>R1-167032, “On OFDM in NR for Non-Coverage-Limited Scenarios”, Ericsson,</w:t>
      </w:r>
      <w:r w:rsidRPr="00207095">
        <w:rPr>
          <w:lang w:val="de-DE"/>
        </w:rPr>
        <w:t xml:space="preserve"> </w:t>
      </w:r>
      <w:r>
        <w:rPr>
          <w:lang w:val="de-DE"/>
        </w:rPr>
        <w:br/>
        <w:t>TSG-RAN WG1 #86</w:t>
      </w:r>
      <w:r>
        <w:t>, August 22-26 2016</w:t>
      </w:r>
    </w:p>
    <w:p w:rsidR="006A61A6" w:rsidRPr="007C0386" w:rsidRDefault="006A61A6" w:rsidP="006A61A6">
      <w:pPr>
        <w:pStyle w:val="BodyText"/>
        <w:rPr>
          <w:rFonts w:ascii="Helvetica" w:hAnsi="Helvetica" w:cs="Helvetica"/>
          <w:b/>
          <w:sz w:val="28"/>
          <w:szCs w:val="28"/>
        </w:rPr>
      </w:pPr>
      <w:r w:rsidRPr="007C0386">
        <w:rPr>
          <w:rFonts w:ascii="Helvetica" w:hAnsi="Helvetica" w:cs="Helvetica"/>
          <w:b/>
          <w:sz w:val="28"/>
          <w:szCs w:val="28"/>
        </w:rPr>
        <w:t>Appendix: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5"/>
        <w:gridCol w:w="4527"/>
      </w:tblGrid>
      <w:tr w:rsidR="006A61A6" w:rsidRPr="00D32D4F" w:rsidTr="00D53D65">
        <w:tc>
          <w:tcPr>
            <w:tcW w:w="4535" w:type="dxa"/>
          </w:tcPr>
          <w:p w:rsidR="006A61A6" w:rsidRPr="00D32D4F" w:rsidRDefault="006A61A6" w:rsidP="00D53D65">
            <w:pPr>
              <w:rPr>
                <w:b/>
              </w:rPr>
            </w:pPr>
            <w:r w:rsidRPr="00D32D4F">
              <w:rPr>
                <w:b/>
              </w:rPr>
              <w:t>Parameter</w:t>
            </w:r>
          </w:p>
        </w:tc>
        <w:tc>
          <w:tcPr>
            <w:tcW w:w="4527" w:type="dxa"/>
          </w:tcPr>
          <w:p w:rsidR="006A61A6" w:rsidRPr="00D32D4F" w:rsidRDefault="006A61A6" w:rsidP="00D53D65">
            <w:pPr>
              <w:rPr>
                <w:b/>
              </w:rPr>
            </w:pPr>
            <w:r w:rsidRPr="00D32D4F">
              <w:rPr>
                <w:b/>
              </w:rPr>
              <w:t>Value</w:t>
            </w:r>
          </w:p>
        </w:tc>
      </w:tr>
      <w:tr w:rsidR="006A61A6" w:rsidRPr="00D32D4F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Numerologies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D53D65">
            <w:r w:rsidRPr="00D32D4F">
              <w:t>15 kHz</w:t>
            </w:r>
            <w:r>
              <w:t>, normal CP</w:t>
            </w:r>
          </w:p>
        </w:tc>
      </w:tr>
      <w:tr w:rsidR="006A61A6" w:rsidRPr="00D32D4F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Resource block size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D53D65">
            <w:r w:rsidRPr="00D32D4F">
              <w:t>12 subcarriers</w:t>
            </w:r>
          </w:p>
        </w:tc>
      </w:tr>
      <w:tr w:rsidR="006A61A6" w:rsidRPr="00D32D4F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TTI length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D53D65"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</w:tr>
      <w:tr w:rsidR="006A61A6" w:rsidRPr="00D32D4F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Channel estimation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D53D65">
            <w:r w:rsidRPr="00D32D4F">
              <w:t>ideal</w:t>
            </w:r>
          </w:p>
        </w:tc>
      </w:tr>
      <w:tr w:rsidR="006A61A6" w:rsidRPr="00D32D4F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Link adaption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D53D65">
            <w:r w:rsidRPr="00D32D4F">
              <w:t>Based on ideal ACK/NACK</w:t>
            </w:r>
          </w:p>
        </w:tc>
      </w:tr>
      <w:tr w:rsidR="006A61A6" w:rsidRPr="00D32D4F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Modulations scheme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D53D65">
            <w:r>
              <w:t>QPSK, 16QAM</w:t>
            </w:r>
          </w:p>
        </w:tc>
      </w:tr>
      <w:tr w:rsidR="006A61A6" w:rsidRPr="00D32D4F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Channel codec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D53D65">
            <w:r w:rsidRPr="00D32D4F">
              <w:t>LTE Turbo code</w:t>
            </w:r>
          </w:p>
        </w:tc>
      </w:tr>
      <w:tr w:rsidR="006A61A6" w:rsidRPr="00D32D4F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Reference signal overhead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D53D65">
            <w:r w:rsidRPr="00D32D4F">
              <w:t>LTE-DL DMRS</w:t>
            </w:r>
          </w:p>
        </w:tc>
      </w:tr>
      <w:tr w:rsidR="006A61A6" w:rsidRPr="00D32D4F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Control channel overhead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D53D65">
            <w:r w:rsidRPr="00D32D4F">
              <w:t>not included</w:t>
            </w:r>
          </w:p>
        </w:tc>
      </w:tr>
      <w:tr w:rsidR="006A61A6" w:rsidTr="00D53D65">
        <w:tc>
          <w:tcPr>
            <w:tcW w:w="4535" w:type="dxa"/>
            <w:vAlign w:val="center"/>
          </w:tcPr>
          <w:p w:rsidR="006A61A6" w:rsidRPr="00D32D4F" w:rsidRDefault="006A61A6" w:rsidP="00D53D65">
            <w:r w:rsidRPr="00D32D4F">
              <w:t>Channel model</w:t>
            </w:r>
          </w:p>
        </w:tc>
        <w:tc>
          <w:tcPr>
            <w:tcW w:w="4527" w:type="dxa"/>
            <w:vAlign w:val="center"/>
          </w:tcPr>
          <w:p w:rsidR="006A61A6" w:rsidRDefault="006A61A6" w:rsidP="00D53D65">
            <w:r w:rsidRPr="00D32D4F">
              <w:t xml:space="preserve">TDL-A with </w:t>
            </w:r>
            <w:r>
              <w:t>100</w:t>
            </w:r>
            <w:r w:rsidRPr="00D32D4F">
              <w:t>s and 1000ns RMS delay spread</w:t>
            </w:r>
          </w:p>
        </w:tc>
      </w:tr>
    </w:tbl>
    <w:p w:rsidR="006A61A6" w:rsidRPr="007D0820" w:rsidRDefault="006A61A6" w:rsidP="006A61A6">
      <w:pPr>
        <w:pStyle w:val="BodyText"/>
      </w:pPr>
    </w:p>
    <w:p w:rsidR="006A61A6" w:rsidRDefault="006A61A6" w:rsidP="00D5629A">
      <w:pPr>
        <w:pStyle w:val="BodyText"/>
        <w:ind w:left="426" w:hanging="426"/>
        <w:jc w:val="left"/>
      </w:pPr>
    </w:p>
    <w:p w:rsidR="00BA2CDD" w:rsidRPr="007D1A4D" w:rsidRDefault="00BA2CDD" w:rsidP="00D5629A">
      <w:pPr>
        <w:jc w:val="both"/>
        <w:rPr>
          <w:szCs w:val="20"/>
        </w:rPr>
      </w:pPr>
    </w:p>
    <w:sectPr w:rsidR="00BA2CDD" w:rsidRPr="007D1A4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FEC" w:rsidRDefault="00F40FEC">
      <w:r>
        <w:separator/>
      </w:r>
    </w:p>
  </w:endnote>
  <w:endnote w:type="continuationSeparator" w:id="0">
    <w:p w:rsidR="00F40FEC" w:rsidRDefault="00F40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FEC" w:rsidRDefault="00F40FEC">
      <w:r>
        <w:separator/>
      </w:r>
    </w:p>
  </w:footnote>
  <w:footnote w:type="continuationSeparator" w:id="0">
    <w:p w:rsidR="00F40FEC" w:rsidRDefault="00F40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F57" w:rsidRDefault="00F40FEC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494"/>
    <w:multiLevelType w:val="hybridMultilevel"/>
    <w:tmpl w:val="443E5878"/>
    <w:lvl w:ilvl="0" w:tplc="8E82AD4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34444"/>
    <w:rsid w:val="000A258F"/>
    <w:rsid w:val="000A462B"/>
    <w:rsid w:val="000F6E1F"/>
    <w:rsid w:val="00112E18"/>
    <w:rsid w:val="001249DC"/>
    <w:rsid w:val="00141448"/>
    <w:rsid w:val="001565D5"/>
    <w:rsid w:val="0017284A"/>
    <w:rsid w:val="0021013F"/>
    <w:rsid w:val="00213C92"/>
    <w:rsid w:val="002262EB"/>
    <w:rsid w:val="0023786E"/>
    <w:rsid w:val="00290099"/>
    <w:rsid w:val="002F20CF"/>
    <w:rsid w:val="00363363"/>
    <w:rsid w:val="003863E2"/>
    <w:rsid w:val="003875A3"/>
    <w:rsid w:val="00391008"/>
    <w:rsid w:val="003E044D"/>
    <w:rsid w:val="003E0E90"/>
    <w:rsid w:val="0040542B"/>
    <w:rsid w:val="004429F8"/>
    <w:rsid w:val="004A511F"/>
    <w:rsid w:val="0050459B"/>
    <w:rsid w:val="00536951"/>
    <w:rsid w:val="00632ACD"/>
    <w:rsid w:val="00681DB5"/>
    <w:rsid w:val="006A286A"/>
    <w:rsid w:val="006A61A6"/>
    <w:rsid w:val="006C3005"/>
    <w:rsid w:val="006C32E1"/>
    <w:rsid w:val="006F0D5E"/>
    <w:rsid w:val="007055BB"/>
    <w:rsid w:val="007637F7"/>
    <w:rsid w:val="00785874"/>
    <w:rsid w:val="007D0820"/>
    <w:rsid w:val="007D1A4D"/>
    <w:rsid w:val="00834DE7"/>
    <w:rsid w:val="00850F1A"/>
    <w:rsid w:val="00852E75"/>
    <w:rsid w:val="00880002"/>
    <w:rsid w:val="00887DC0"/>
    <w:rsid w:val="00892558"/>
    <w:rsid w:val="00894F3E"/>
    <w:rsid w:val="008A7666"/>
    <w:rsid w:val="00951F90"/>
    <w:rsid w:val="00990658"/>
    <w:rsid w:val="009A6BB8"/>
    <w:rsid w:val="009B2E48"/>
    <w:rsid w:val="009E3A6C"/>
    <w:rsid w:val="009E58FD"/>
    <w:rsid w:val="00A81AA1"/>
    <w:rsid w:val="00AA13EF"/>
    <w:rsid w:val="00B368D9"/>
    <w:rsid w:val="00BA2CDD"/>
    <w:rsid w:val="00BA3F36"/>
    <w:rsid w:val="00BB5D35"/>
    <w:rsid w:val="00BC6AC4"/>
    <w:rsid w:val="00BE6ABB"/>
    <w:rsid w:val="00C1560A"/>
    <w:rsid w:val="00C61496"/>
    <w:rsid w:val="00C93774"/>
    <w:rsid w:val="00CE28B2"/>
    <w:rsid w:val="00CF5A8B"/>
    <w:rsid w:val="00CF67BE"/>
    <w:rsid w:val="00D02743"/>
    <w:rsid w:val="00D03119"/>
    <w:rsid w:val="00D151AA"/>
    <w:rsid w:val="00D21788"/>
    <w:rsid w:val="00D30DBF"/>
    <w:rsid w:val="00D5629A"/>
    <w:rsid w:val="00D64311"/>
    <w:rsid w:val="00D7691A"/>
    <w:rsid w:val="00DA110D"/>
    <w:rsid w:val="00DF404C"/>
    <w:rsid w:val="00E41484"/>
    <w:rsid w:val="00E63D88"/>
    <w:rsid w:val="00E956F8"/>
    <w:rsid w:val="00F40FEC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ACEB76"/>
  <w15:docId w15:val="{A63EDF26-0D5E-4244-AD32-760F82E2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1A4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1A4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D1A4D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034444"/>
    <w:pPr>
      <w:spacing w:after="200"/>
    </w:pPr>
    <w:rPr>
      <w:i/>
      <w:iCs/>
      <w:color w:val="1F497D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2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29A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rsid w:val="006A61A6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14C33-2FB9-4E1A-B241-8A209F511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Erik Dahlman</cp:lastModifiedBy>
  <cp:revision>5</cp:revision>
  <cp:lastPrinted>2016-09-30T15:16:00Z</cp:lastPrinted>
  <dcterms:created xsi:type="dcterms:W3CDTF">2016-09-30T13:17:00Z</dcterms:created>
  <dcterms:modified xsi:type="dcterms:W3CDTF">2016-09-30T18:46:00Z</dcterms:modified>
</cp:coreProperties>
</file>